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3553F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0A4E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ChrisBourqueMaxxitSy/AppData/Local/Microsoft/Windows/INetCache/Content.Outlook/TZXX57FC/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  <location xmlns="55bacbeb-3473-4b51-b307-b470faacb695" xsi:nil="true"/>
    <Time xmlns="55bacbeb-3473-4b51-b307-b470faacb69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32" ma:contentTypeDescription="Create a new document." ma:contentTypeScope="" ma:versionID="62d918fc72a8645e15a625878c1e9325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7f4be74bf99941eb05945636946bfd0e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a103aff7-fe59-425e-b142-1dde41bce06bCountryOrRegion" minOccurs="0"/>
                <xsd:element ref="ns2:a103aff7-fe59-425e-b142-1dde41bce06bState" minOccurs="0"/>
                <xsd:element ref="ns2:a103aff7-fe59-425e-b142-1dde41bce06bCity" minOccurs="0"/>
                <xsd:element ref="ns2:a103aff7-fe59-425e-b142-1dde41bce06bPostalCode" minOccurs="0"/>
                <xsd:element ref="ns2:a103aff7-fe59-425e-b142-1dde41bce06bStreet" minOccurs="0"/>
                <xsd:element ref="ns2:a103aff7-fe59-425e-b142-1dde41bce06bGeoLoc" minOccurs="0"/>
                <xsd:element ref="ns2:a103aff7-fe59-425e-b142-1dde41bce06bDispName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a103aff7-fe59-425e-b142-1dde41bce06bCountryOrRegion" ma:index="27" nillable="true" ma:displayName="location: Country/Region" ma:internalName="CountryOrRegion" ma:readOnly="true">
      <xsd:simpleType>
        <xsd:restriction base="dms:Text"/>
      </xsd:simpleType>
    </xsd:element>
    <xsd:element name="a103aff7-fe59-425e-b142-1dde41bce06bState" ma:index="28" nillable="true" ma:displayName="location: State" ma:internalName="State" ma:readOnly="true">
      <xsd:simpleType>
        <xsd:restriction base="dms:Text"/>
      </xsd:simpleType>
    </xsd:element>
    <xsd:element name="a103aff7-fe59-425e-b142-1dde41bce06bCity" ma:index="29" nillable="true" ma:displayName="location: City" ma:internalName="City" ma:readOnly="true">
      <xsd:simpleType>
        <xsd:restriction base="dms:Text"/>
      </xsd:simpleType>
    </xsd:element>
    <xsd:element name="a103aff7-fe59-425e-b142-1dde41bce06bPostalCode" ma:index="30" nillable="true" ma:displayName="location: Postal Code" ma:internalName="PostalCode" ma:readOnly="true">
      <xsd:simpleType>
        <xsd:restriction base="dms:Text"/>
      </xsd:simpleType>
    </xsd:element>
    <xsd:element name="a103aff7-fe59-425e-b142-1dde41bce06bStreet" ma:index="31" nillable="true" ma:displayName="location: Street" ma:internalName="Street" ma:readOnly="true">
      <xsd:simpleType>
        <xsd:restriction base="dms:Text"/>
      </xsd:simpleType>
    </xsd:element>
    <xsd:element name="a103aff7-fe59-425e-b142-1dde41bce06bGeoLoc" ma:index="32" nillable="true" ma:displayName="location: Coordinates" ma:internalName="GeoLoc" ma:readOnly="true">
      <xsd:simpleType>
        <xsd:restriction base="dms:Unknown"/>
      </xsd:simpleType>
    </xsd:element>
    <xsd:element name="a103aff7-fe59-425e-b142-1dde41bce06bDispName" ma:index="33" nillable="true" ma:displayName="location: Name" ma:internalName="DispName" ma:readOnly="true">
      <xsd:simpleType>
        <xsd:restriction base="dms:Text"/>
      </xsd:simpleType>
    </xsd:element>
    <xsd:element name="Time" ma:index="34" nillable="true" ma:displayName="Time" ma:format="DateOnly" ma:internalName="Tim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customXml/itemProps3.xml><?xml version="1.0" encoding="utf-8"?>
<ds:datastoreItem xmlns:ds="http://schemas.openxmlformats.org/officeDocument/2006/customXml" ds:itemID="{EAFA8AAD-4B58-40FE-BF26-2B0F6D94A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6020</Characters>
  <Application>Microsoft Office Word</Application>
  <DocSecurity>0</DocSecurity>
  <Lines>133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Harshvir Kalkat</cp:lastModifiedBy>
  <cp:revision>2</cp:revision>
  <dcterms:created xsi:type="dcterms:W3CDTF">2024-01-17T21:35:00Z</dcterms:created>
  <dcterms:modified xsi:type="dcterms:W3CDTF">2024-01-17T21:35:00Z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  <property fmtid="{D5CDD505-2E9C-101B-9397-08002B2CF9AE}" pid="4" name="GrammarlyDocumentId">
    <vt:lpwstr>89b43c241b6689beeb6bb7ef202efe656d8a2222ddcc93f50a77147bbd13c02a</vt:lpwstr>
  </property>
</Properties>
</file>